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eastAsia="华文中宋"/>
          <w:sz w:val="36"/>
          <w:szCs w:val="36"/>
        </w:rPr>
      </w:pPr>
      <w:r>
        <w:rPr>
          <w:rFonts w:hint="eastAsia" w:eastAsia="华文中宋"/>
          <w:sz w:val="36"/>
          <w:szCs w:val="36"/>
        </w:rPr>
        <w:t>宿州市</w:t>
      </w:r>
      <w:r>
        <w:rPr>
          <w:rFonts w:eastAsia="华文中宋"/>
          <w:sz w:val="36"/>
          <w:szCs w:val="36"/>
        </w:rPr>
        <w:t>地方标准编制说明</w:t>
      </w:r>
    </w:p>
    <w:tbl>
      <w:tblPr>
        <w:tblStyle w:val="5"/>
        <w:tblW w:w="8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104"/>
        <w:gridCol w:w="2785"/>
        <w:gridCol w:w="1559"/>
        <w:gridCol w:w="1286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标准名称</w:t>
            </w:r>
          </w:p>
        </w:tc>
        <w:tc>
          <w:tcPr>
            <w:tcW w:w="7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彩薯农药减施增效技术规程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任务来源</w:t>
            </w:r>
          </w:p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（项目计划号）</w:t>
            </w:r>
          </w:p>
        </w:tc>
        <w:tc>
          <w:tcPr>
            <w:tcW w:w="7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根据</w:t>
            </w:r>
            <w:bookmarkStart w:id="0" w:name="_Hlk34840492"/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宿州市市场监督管理局《关于下达&lt;设施菜田土壤修复技术规范&gt;等17项地方标准计划的通知</w:t>
            </w:r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》（宿市监函〔2021〕71号）（计划号2021-1-5）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第一起草单位</w:t>
            </w:r>
          </w:p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宿州市农业科学院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单位地址</w:t>
            </w:r>
          </w:p>
        </w:tc>
        <w:tc>
          <w:tcPr>
            <w:tcW w:w="7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宿州市埇桥区浍水东路551号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参与起草单位</w:t>
            </w:r>
          </w:p>
        </w:tc>
        <w:tc>
          <w:tcPr>
            <w:tcW w:w="7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萧县市场监督检验所</w:t>
            </w:r>
            <w:bookmarkStart w:id="25" w:name="_GoBack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1"/>
              </w:numPr>
              <w:adjustRightInd w:val="0"/>
              <w:snapToGrid w:val="0"/>
              <w:spacing w:before="156" w:afterLines="0" w:line="300" w:lineRule="auto"/>
              <w:ind w:left="630" w:hanging="21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标准起草人（全部起草人）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序号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姓 名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单 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职 务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职 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  <w:t>刘兴舟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>宿州市农业科学院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>副所长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>副研究员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>13956833720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>李进步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宿州市农业科学院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副院长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副教授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18955726277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  <w:t>王月英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宿州市农业科学院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推广研究员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13866580323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>张玉坤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宿州市农业科学院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>所长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>副研究员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  <w:t>13855705692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  <w:t>王朝伟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宿州市农业科学院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13955163766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  <w:t>尹毛珠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宿州市农业科学院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19852856797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  <w:t>张培培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宿州市农业科学院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>/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>助理研究员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>18505572726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  <w:t>付  玲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宿州市农业科学院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>/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>助理研究员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>18325720276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>张康静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萧县市场监督检验所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>/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>工程师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>17855053480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djustRightInd w:val="0"/>
              <w:snapToGrid w:val="0"/>
              <w:spacing w:beforeLines="45" w:afterLines="45" w:line="300" w:lineRule="auto"/>
              <w:ind w:left="420"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编制情况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djustRightInd w:val="0"/>
              <w:snapToGrid w:val="0"/>
              <w:spacing w:beforeLines="45" w:afterLines="45" w:line="300" w:lineRule="auto"/>
              <w:ind w:firstLine="0" w:firstLineChars="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1、编制过程简介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djustRightInd w:val="0"/>
              <w:snapToGrid w:val="0"/>
              <w:spacing w:beforeLines="45" w:afterLines="45" w:line="300" w:lineRule="auto"/>
              <w:rPr>
                <w:rFonts w:hint="eastAsia" w:ascii="方正仿宋_GBK" w:hAnsi="方正仿宋_GBK" w:eastAsia="方正仿宋_GBK" w:cs="方正仿宋_GBK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shd w:val="clear" w:color="auto" w:fill="auto"/>
              </w:rPr>
              <w:t>2021年3月中旬，根据宿州市市场监督管理局《关于征集2021年度宿州市地方标准制（修）订计划项目的通知》，成立标准编制小组，主要由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shd w:val="clear" w:color="auto" w:fill="auto"/>
                <w:lang w:eastAsia="zh-CN"/>
              </w:rPr>
              <w:t>宿州市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shd w:val="clear" w:color="auto" w:fill="auto"/>
                <w:lang w:val="en-US" w:eastAsia="zh-CN"/>
              </w:rPr>
              <w:t>农业科学院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shd w:val="clear" w:color="auto" w:fill="auto"/>
              </w:rPr>
              <w:t>牵头负责起草、编写《彩薯农药减施增效技术规程》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shd w:val="clear" w:color="auto" w:fill="auto"/>
              </w:rPr>
              <w:t>萧县市场监督检验所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shd w:val="clear" w:color="auto" w:fill="auto"/>
                <w:lang w:val="en-US" w:eastAsia="zh-CN"/>
              </w:rPr>
              <w:t>参与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shd w:val="clear" w:color="auto" w:fill="auto"/>
              </w:rPr>
              <w:t>。编制小组成员根据多年在植保一线从事技术推广、试验示范和农民培训等工作的经验，经过查看工作记录、试验示范结果，与农药经销商及农户交流讨论、翻阅资料、请教专家教授、小组成员之间交流讨论，并参照2021年新发布的省、市级地方标准文本格式，经多次修改、论证形成草案。</w:t>
            </w:r>
          </w:p>
          <w:p>
            <w:pPr>
              <w:pStyle w:val="10"/>
              <w:adjustRightInd w:val="0"/>
              <w:snapToGrid w:val="0"/>
              <w:spacing w:beforeLines="45" w:afterLines="45" w:line="300" w:lineRule="auto"/>
              <w:rPr>
                <w:rFonts w:hint="eastAsia" w:ascii="方正仿宋_GBK" w:hAnsi="方正仿宋_GBK" w:eastAsia="方正仿宋_GBK" w:cs="方正仿宋_GBK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shd w:val="clear" w:color="auto" w:fill="auto"/>
              </w:rPr>
              <w:t>2021年7月上旬，《彩薯农药减施增效技术规程》草案通过市级立项评估会，7月中旬，收到《关于下达&lt;设施菜田土壤修复技术规范&gt;等17项地方标准计划的通知》（宿市监函〔2021〕71号）。</w:t>
            </w:r>
          </w:p>
          <w:p>
            <w:pPr>
              <w:pStyle w:val="10"/>
              <w:adjustRightInd w:val="0"/>
              <w:snapToGrid w:val="0"/>
              <w:spacing w:beforeLines="45" w:afterLines="45" w:line="300" w:lineRule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shd w:val="clear" w:color="auto" w:fill="auto"/>
              </w:rPr>
              <w:t>2021年7月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shd w:val="clear" w:color="auto" w:fill="auto"/>
                <w:lang w:val="en-US" w:eastAsia="zh-CN"/>
              </w:rPr>
              <w:t>-2022年2月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shd w:val="clear" w:color="auto" w:fill="auto"/>
              </w:rPr>
              <w:t>，多次组织标准编制人员召开地方标准研讨会，学习GB/T 1.1—2020《标准化工作导则第1部分：标准的结构和编写规则》，对草案内容进行讨论、修改，同时邀请行业专家进行审核把关，根据专家意见进一步修改完善，形成《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hd w:val="clear" w:color="auto" w:fill="auto"/>
              </w:rPr>
              <w:t>彩薯农药减施增效技术规程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shd w:val="clear" w:color="auto" w:fill="auto"/>
              </w:rPr>
              <w:t>》征求意见稿。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djustRightInd w:val="0"/>
              <w:snapToGrid w:val="0"/>
              <w:spacing w:beforeLines="45" w:afterLines="45" w:line="300" w:lineRule="auto"/>
              <w:ind w:firstLine="0" w:firstLineChars="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2、制定标准的必要性和意义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djustRightInd w:val="0"/>
              <w:snapToGrid w:val="0"/>
              <w:spacing w:beforeLines="45" w:afterLines="45" w:line="300" w:lineRule="auto"/>
              <w:ind w:firstLineChars="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在“健康中国”战略的大背景下，当代人的饮食结构正在由温饱型向功能型和保健型转变，彩薯种植的巨大优越性体现出来。但是，彩薯作为保健食品对农药残留的要求更高，在农药的使用上要求更为严格。为提高彩薯种植过程中的病虫害防治水平，大力推广低毒低残留农药和生物农药，制定《彩薯农药减施增效技术规程》显得尤其重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10"/>
              <w:adjustRightInd w:val="0"/>
              <w:snapToGrid w:val="0"/>
              <w:spacing w:beforeLines="45" w:afterLines="45" w:line="300" w:lineRule="auto"/>
              <w:ind w:firstLine="0" w:firstLineChars="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3、制定标准的原则和依据，与现行法律法规、标准的关系。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adjustRightInd w:val="0"/>
              <w:snapToGrid w:val="0"/>
              <w:spacing w:beforeLines="45" w:afterLines="45" w:line="300" w:lineRule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标准编制遵循“先进性、实用性、统一性、规范性”的原则，注重标准的可操作性，严格按照GB/T 1.1最新版本的要求进行编写。本标准与现行有关食品质量安全法律、法规和强制性标准没有冲突。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djustRightInd w:val="0"/>
              <w:snapToGrid w:val="0"/>
              <w:spacing w:beforeLines="45" w:afterLines="45" w:line="300" w:lineRule="auto"/>
              <w:ind w:firstLine="0" w:firstLineChars="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4、主要条款的说明，主要技术指标、参数、试验验证的论述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djustRightInd w:val="0"/>
              <w:spacing w:line="400" w:lineRule="atLeast"/>
              <w:ind w:firstLine="0" w:firstLineChars="0"/>
              <w:contextualSpacing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主要条款：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本标准的章节由：范围、规范性引用文件、术语和定义、综合防控技术和资料性附录A（化学防除除草剂选择及使用）组成。该规程适用于宿州市彩薯的病虫害绿色防控。主要技术是：种植抗（耐）病的彩薯品种，种子药剂处理技术，农田生态防控技术，高效低毒低残留农药和生物农药使用技术。</w:t>
            </w:r>
          </w:p>
          <w:p>
            <w:pPr>
              <w:pStyle w:val="10"/>
              <w:adjustRightInd w:val="0"/>
              <w:spacing w:line="400" w:lineRule="atLeast"/>
              <w:ind w:firstLine="0" w:firstLineChars="0"/>
              <w:contextualSpacing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主要技术指标、参数：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.农业防治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.1彩薯品种选择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选用产量高、抗病性强、薯块品质优、适应性广的品种，如济薯18号、徐紫薯2号、京紫薯6号、徐紫薯1号、徐紫薯3号等。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1.2 适期播种，合理密植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育苗时间，一般来说，以三月下旬的晴朗天气最为适宜，而扦插时间最好控制好四月下旬到五月上旬。在地力肥沃的田块，每亩栽植3000～4000株，在肥力较低的田块，一般每亩栽植4500株左右。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1.3 耕作方式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深翻炕土，单垄单行或单垄双行进行分厢起垄。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1.4 科学水肥管理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采用测土配方施肥，增施农家肥，将农家肥量控制在每亩1000千克左右，并辅助施加高浓度复合肥50千克作为基肥，采用破垄条施。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.物理防治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人工摘除卵块，清洁田园，及早拔出病株、病叶。同时用性诱剂、黑光灯及黄板诱杀斜纹夜蛾等。蝼蛄、蛴螬等地下害虫可以采用人工捕捉的方法。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生物防治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可以采用百僵菌来防治地下害虫。用Bt苏云金杆菌和斜纹夜蛾核型多角体病毒防治斜纹夜蛾，也可以利用斜纹夜蛾的天敌进行防治，包括捕食性的昆虫如蜘蛛、或是斜纹夜蛾的寄生虫如线虫以及微生物等进行防治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化学防治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4.1斜纹夜蛾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可选用2%甲维盐乳油2000倍液、5%卡死克乳油2000～2500倍液、5%抑太保2000～2500倍液、2.5%功夫2000～3000倍液等喷雾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4.2蚜虫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用10%吡虫啉可湿性粉剂1500倍液，或50%抗蚜威可湿性粉剂2000～3000倍液喷雾。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4.3蛴螬等地下害虫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可用50%辛硫磷乳油200～250克/亩，加水10倍喷于25～30公斤细土上拌匀制成毒土，顺垄条施，随即浅锄。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4.4茎线虫病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将秧苗基部8～10厘米浸入50%辛硫磷100倍液10分钟。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4.5软腐病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用50%～70%甲基硫菌灵可湿性粉剂500～700倍液将紫薯块浸泡两次，能够起到良好的效果。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4.6根腐病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根腐病使用50%甲基托布津可湿性粉剂700～1000倍液进行喷雾防治，两次即可。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4.7黑斑病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用50%甲基托布津1000倍药液浸种薯10分钟；或50%可湿性多菌灵1000倍药液浸种薯5分钟；或用50%甲基托布津500～1000倍药液浸种苗10分钟。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spacing w:beforeLines="45" w:afterLines="45" w:line="300" w:lineRule="auto"/>
              <w:rPr>
                <w:rFonts w:hint="eastAsia" w:ascii="方正仿宋_GBK" w:hAnsi="方正仿宋_GBK" w:eastAsia="方正仿宋_GBK" w:cs="方正仿宋_GBK"/>
                <w:szCs w:val="20"/>
              </w:rPr>
            </w:pPr>
            <w:bookmarkStart w:id="1" w:name="_Toc464905809"/>
            <w:bookmarkStart w:id="2" w:name="_Toc464905557"/>
            <w:bookmarkStart w:id="3" w:name="_Toc464905613"/>
            <w:bookmarkStart w:id="4" w:name="_Toc464902852"/>
            <w:r>
              <w:rPr>
                <w:rFonts w:hint="eastAsia" w:ascii="方正仿宋_GBK" w:hAnsi="方正仿宋_GBK" w:eastAsia="方正仿宋_GBK" w:cs="方正仿宋_GBK"/>
                <w:szCs w:val="20"/>
              </w:rPr>
              <w:t>5、标准中如果涉及专利，应有明确的知识产权说明</w:t>
            </w:r>
            <w:bookmarkEnd w:id="1"/>
            <w:bookmarkEnd w:id="2"/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djustRightInd w:val="0"/>
              <w:snapToGrid w:val="0"/>
              <w:spacing w:beforeLines="45" w:afterLines="45" w:line="300" w:lineRule="auto"/>
              <w:ind w:firstLine="3465" w:firstLineChars="165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spacing w:beforeLines="45" w:afterLines="45" w:line="300" w:lineRule="auto"/>
              <w:jc w:val="both"/>
              <w:rPr>
                <w:rFonts w:hint="eastAsia" w:ascii="方正仿宋_GBK" w:hAnsi="方正仿宋_GBK" w:eastAsia="方正仿宋_GBK" w:cs="方正仿宋_GBK"/>
                <w:szCs w:val="20"/>
              </w:rPr>
            </w:pPr>
            <w:bookmarkStart w:id="5" w:name="_Toc464902853"/>
            <w:bookmarkStart w:id="6" w:name="_Toc464905558"/>
            <w:bookmarkStart w:id="7" w:name="_Toc464905810"/>
            <w:bookmarkStart w:id="8" w:name="_Toc464905614"/>
            <w:r>
              <w:rPr>
                <w:rFonts w:hint="eastAsia" w:ascii="方正仿宋_GBK" w:hAnsi="方正仿宋_GBK" w:eastAsia="方正仿宋_GBK" w:cs="方正仿宋_GBK"/>
                <w:szCs w:val="20"/>
              </w:rPr>
              <w:t>6、采用国际标准或国外先进标准的，说明采标程度，以及国内外同类标准水平的对比情况</w:t>
            </w:r>
            <w:bookmarkEnd w:id="5"/>
            <w:bookmarkEnd w:id="6"/>
            <w:bookmarkEnd w:id="7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spacing w:beforeLines="45" w:afterLines="45" w:line="300" w:lineRule="auto"/>
              <w:ind w:firstLine="420" w:firstLineChars="200"/>
              <w:rPr>
                <w:rFonts w:hint="eastAsia" w:ascii="方正仿宋_GBK" w:hAnsi="方正仿宋_GBK" w:eastAsia="方正仿宋_GBK" w:cs="方正仿宋_GBK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国内、安徽省内均未有《彩薯</w:t>
            </w:r>
            <w:r>
              <w:rPr>
                <w:rFonts w:hint="eastAsia" w:ascii="方正仿宋_GBK" w:hAnsi="方正仿宋_GBK" w:eastAsia="方正仿宋_GBK" w:cs="方正仿宋_GBK"/>
                <w:szCs w:val="20"/>
                <w:lang w:val="en-US" w:eastAsia="zh-CN"/>
              </w:rPr>
              <w:t>农药减施增效技术规程</w:t>
            </w: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spacing w:beforeLines="45" w:afterLines="45" w:line="300" w:lineRule="auto"/>
              <w:jc w:val="both"/>
              <w:rPr>
                <w:rFonts w:hint="eastAsia" w:ascii="方正仿宋_GBK" w:hAnsi="方正仿宋_GBK" w:eastAsia="方正仿宋_GBK" w:cs="方正仿宋_GBK"/>
                <w:szCs w:val="20"/>
              </w:rPr>
            </w:pPr>
            <w:bookmarkStart w:id="9" w:name="_Toc464905559"/>
            <w:bookmarkStart w:id="10" w:name="_Toc464902854"/>
            <w:bookmarkStart w:id="11" w:name="_Toc464905615"/>
            <w:bookmarkStart w:id="12" w:name="_Toc464905811"/>
            <w:r>
              <w:rPr>
                <w:rFonts w:hint="eastAsia" w:ascii="方正仿宋_GBK" w:hAnsi="方正仿宋_GBK" w:eastAsia="方正仿宋_GBK" w:cs="方正仿宋_GBK"/>
                <w:szCs w:val="20"/>
              </w:rPr>
              <w:t>7、重大分歧意见的处理经过和依据</w:t>
            </w:r>
            <w:bookmarkEnd w:id="9"/>
            <w:bookmarkEnd w:id="10"/>
            <w:bookmarkEnd w:id="11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0"/>
              </w:rPr>
              <w:t>暂无分歧意见。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spacing w:beforeLines="45" w:afterLines="45" w:line="300" w:lineRule="auto"/>
              <w:jc w:val="both"/>
              <w:rPr>
                <w:rFonts w:hint="eastAsia" w:ascii="方正仿宋_GBK" w:hAnsi="方正仿宋_GBK" w:eastAsia="方正仿宋_GBK" w:cs="方正仿宋_GBK"/>
                <w:szCs w:val="20"/>
              </w:rPr>
            </w:pPr>
            <w:bookmarkStart w:id="13" w:name="_Toc464905812"/>
            <w:bookmarkStart w:id="14" w:name="_Toc464905616"/>
            <w:bookmarkStart w:id="15" w:name="_Toc464902855"/>
            <w:bookmarkStart w:id="16" w:name="_Toc464905560"/>
            <w:r>
              <w:rPr>
                <w:rFonts w:hint="eastAsia" w:ascii="方正仿宋_GBK" w:hAnsi="方正仿宋_GBK" w:eastAsia="方正仿宋_GBK" w:cs="方正仿宋_GBK"/>
                <w:szCs w:val="20"/>
              </w:rPr>
              <w:t>8、贯彻标准的要求和措施建议（包括组织措施、技术措施、过渡办法、实施日期等）</w:t>
            </w:r>
            <w:bookmarkEnd w:id="13"/>
            <w:bookmarkEnd w:id="14"/>
            <w:bookmarkEnd w:id="15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kern w:val="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0"/>
              </w:rPr>
              <w:t>大力宣传、培训、推广标准技术，做好示范带动。建议农村农业局整合项目资金，或与其它农业项目捆绑实施。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spacing w:beforeLines="45" w:afterLines="45" w:line="300" w:lineRule="auto"/>
              <w:jc w:val="both"/>
              <w:rPr>
                <w:rFonts w:hint="eastAsia" w:ascii="方正仿宋_GBK" w:hAnsi="方正仿宋_GBK" w:eastAsia="方正仿宋_GBK" w:cs="方正仿宋_GBK"/>
                <w:szCs w:val="20"/>
              </w:rPr>
            </w:pPr>
            <w:bookmarkStart w:id="17" w:name="_Toc464905561"/>
            <w:bookmarkStart w:id="18" w:name="_Toc464902856"/>
            <w:bookmarkStart w:id="19" w:name="_Toc464905617"/>
            <w:bookmarkStart w:id="20" w:name="_Toc464905813"/>
            <w:r>
              <w:rPr>
                <w:rFonts w:hint="eastAsia" w:ascii="方正仿宋_GBK" w:hAnsi="方正仿宋_GBK" w:eastAsia="方正仿宋_GBK" w:cs="方正仿宋_GBK"/>
                <w:szCs w:val="20"/>
              </w:rPr>
              <w:t>9、废止现行相关标准的建议</w:t>
            </w:r>
            <w:bookmarkEnd w:id="17"/>
            <w:bookmarkEnd w:id="18"/>
            <w:bookmarkEnd w:id="19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spacing w:beforeLines="45" w:afterLines="45" w:line="300" w:lineRule="auto"/>
              <w:rPr>
                <w:rFonts w:hint="eastAsia" w:ascii="方正仿宋_GBK" w:hAnsi="方正仿宋_GBK" w:eastAsia="方正仿宋_GBK" w:cs="方正仿宋_GBK"/>
                <w:szCs w:val="20"/>
              </w:rPr>
            </w:pPr>
            <w:bookmarkStart w:id="21" w:name="_Toc464905562"/>
            <w:bookmarkStart w:id="22" w:name="_Toc464902857"/>
            <w:bookmarkStart w:id="23" w:name="_Toc464905618"/>
            <w:bookmarkStart w:id="24" w:name="_Toc464905814"/>
            <w:r>
              <w:rPr>
                <w:rFonts w:hint="eastAsia" w:ascii="方正仿宋_GBK" w:hAnsi="方正仿宋_GBK" w:eastAsia="方正仿宋_GBK" w:cs="方正仿宋_GBK"/>
                <w:szCs w:val="20"/>
              </w:rPr>
              <w:t>10、其它应予说明的事项</w:t>
            </w:r>
            <w:bookmarkEnd w:id="21"/>
            <w:bookmarkEnd w:id="22"/>
            <w:bookmarkEnd w:id="23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2"/>
                <w:numId w:val="0"/>
              </w:numPr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方正仿宋_GBK" w:hAnsi="方正仿宋_GBK" w:eastAsia="方正仿宋_GBK" w:cs="方正仿宋_GBK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无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方正仿宋_GBK" w:hAnsi="方正仿宋_GBK" w:eastAsia="方正仿宋_GBK" w:cs="方正仿宋_GBK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EB9624D-4257-4950-8784-1AFC350371CD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33030CD-2760-41FD-A6CC-FECB5E8DA16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29B5B4B-E6A0-4FC3-A520-24E1B82774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DB1AB2"/>
    <w:multiLevelType w:val="multilevel"/>
    <w:tmpl w:val="4DDB1AB2"/>
    <w:lvl w:ilvl="0" w:tentative="0">
      <w:start w:val="1"/>
      <w:numFmt w:val="decimal"/>
      <w:pStyle w:val="1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646260FA"/>
    <w:multiLevelType w:val="multilevel"/>
    <w:tmpl w:val="646260FA"/>
    <w:lvl w:ilvl="0" w:tentative="0">
      <w:start w:val="1"/>
      <w:numFmt w:val="decimal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1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5D"/>
    <w:rsid w:val="00003E64"/>
    <w:rsid w:val="00025D17"/>
    <w:rsid w:val="000320CA"/>
    <w:rsid w:val="00044D35"/>
    <w:rsid w:val="0004686B"/>
    <w:rsid w:val="000553C3"/>
    <w:rsid w:val="000739AC"/>
    <w:rsid w:val="000912D9"/>
    <w:rsid w:val="00092B43"/>
    <w:rsid w:val="000A6B0D"/>
    <w:rsid w:val="000B1053"/>
    <w:rsid w:val="000C23BA"/>
    <w:rsid w:val="000C744F"/>
    <w:rsid w:val="000E79DA"/>
    <w:rsid w:val="00110AF1"/>
    <w:rsid w:val="001148A2"/>
    <w:rsid w:val="00146017"/>
    <w:rsid w:val="00147E3D"/>
    <w:rsid w:val="0015061A"/>
    <w:rsid w:val="001B5E9D"/>
    <w:rsid w:val="001D1121"/>
    <w:rsid w:val="001E531C"/>
    <w:rsid w:val="001F21D9"/>
    <w:rsid w:val="001F758A"/>
    <w:rsid w:val="00201930"/>
    <w:rsid w:val="002157CD"/>
    <w:rsid w:val="00261AA2"/>
    <w:rsid w:val="00294074"/>
    <w:rsid w:val="002E4D29"/>
    <w:rsid w:val="00302CE1"/>
    <w:rsid w:val="00310D17"/>
    <w:rsid w:val="00312665"/>
    <w:rsid w:val="00355C50"/>
    <w:rsid w:val="003C1154"/>
    <w:rsid w:val="003D6ECB"/>
    <w:rsid w:val="003D7297"/>
    <w:rsid w:val="003E60A2"/>
    <w:rsid w:val="003E6A66"/>
    <w:rsid w:val="004115AA"/>
    <w:rsid w:val="00427FFC"/>
    <w:rsid w:val="00451364"/>
    <w:rsid w:val="00471205"/>
    <w:rsid w:val="00476DC3"/>
    <w:rsid w:val="0048223D"/>
    <w:rsid w:val="004919CE"/>
    <w:rsid w:val="004945B9"/>
    <w:rsid w:val="004B3C9A"/>
    <w:rsid w:val="004C1869"/>
    <w:rsid w:val="004C6695"/>
    <w:rsid w:val="004D2697"/>
    <w:rsid w:val="004D4BA3"/>
    <w:rsid w:val="00502586"/>
    <w:rsid w:val="005055A4"/>
    <w:rsid w:val="00526FA8"/>
    <w:rsid w:val="00533679"/>
    <w:rsid w:val="00550A0B"/>
    <w:rsid w:val="005513F9"/>
    <w:rsid w:val="005619F2"/>
    <w:rsid w:val="0056778F"/>
    <w:rsid w:val="005806CA"/>
    <w:rsid w:val="005B55F5"/>
    <w:rsid w:val="005C7181"/>
    <w:rsid w:val="005D57E5"/>
    <w:rsid w:val="005F7AE4"/>
    <w:rsid w:val="006321EC"/>
    <w:rsid w:val="00633237"/>
    <w:rsid w:val="00665582"/>
    <w:rsid w:val="006A292C"/>
    <w:rsid w:val="006B6A60"/>
    <w:rsid w:val="006D1088"/>
    <w:rsid w:val="006E31C6"/>
    <w:rsid w:val="006F7961"/>
    <w:rsid w:val="007004C4"/>
    <w:rsid w:val="0071599A"/>
    <w:rsid w:val="007177F9"/>
    <w:rsid w:val="007314F9"/>
    <w:rsid w:val="0073634E"/>
    <w:rsid w:val="007672A2"/>
    <w:rsid w:val="00770474"/>
    <w:rsid w:val="0078371C"/>
    <w:rsid w:val="00786DA3"/>
    <w:rsid w:val="007A5091"/>
    <w:rsid w:val="007B0795"/>
    <w:rsid w:val="007C2D7B"/>
    <w:rsid w:val="007E27AD"/>
    <w:rsid w:val="007E576A"/>
    <w:rsid w:val="007E60A1"/>
    <w:rsid w:val="00804C1C"/>
    <w:rsid w:val="00822388"/>
    <w:rsid w:val="00857427"/>
    <w:rsid w:val="00871059"/>
    <w:rsid w:val="00876569"/>
    <w:rsid w:val="008E5B94"/>
    <w:rsid w:val="008F5501"/>
    <w:rsid w:val="00926BF6"/>
    <w:rsid w:val="009277CA"/>
    <w:rsid w:val="00932D19"/>
    <w:rsid w:val="00940F1A"/>
    <w:rsid w:val="00961B13"/>
    <w:rsid w:val="00965A07"/>
    <w:rsid w:val="00985EDE"/>
    <w:rsid w:val="009A4CAC"/>
    <w:rsid w:val="009A4D99"/>
    <w:rsid w:val="009C2370"/>
    <w:rsid w:val="00A2213A"/>
    <w:rsid w:val="00A27137"/>
    <w:rsid w:val="00A35CB9"/>
    <w:rsid w:val="00A57495"/>
    <w:rsid w:val="00A93BD5"/>
    <w:rsid w:val="00AD717B"/>
    <w:rsid w:val="00AF0E6D"/>
    <w:rsid w:val="00B27D7C"/>
    <w:rsid w:val="00B368EA"/>
    <w:rsid w:val="00B43431"/>
    <w:rsid w:val="00B57959"/>
    <w:rsid w:val="00B6465D"/>
    <w:rsid w:val="00B65BB9"/>
    <w:rsid w:val="00B66906"/>
    <w:rsid w:val="00B82629"/>
    <w:rsid w:val="00B92766"/>
    <w:rsid w:val="00B9734C"/>
    <w:rsid w:val="00BA56CB"/>
    <w:rsid w:val="00BB0048"/>
    <w:rsid w:val="00BB6497"/>
    <w:rsid w:val="00BE0B39"/>
    <w:rsid w:val="00C0438E"/>
    <w:rsid w:val="00C20D92"/>
    <w:rsid w:val="00C324ED"/>
    <w:rsid w:val="00C460EF"/>
    <w:rsid w:val="00C55950"/>
    <w:rsid w:val="00C616BE"/>
    <w:rsid w:val="00C71456"/>
    <w:rsid w:val="00C87AF7"/>
    <w:rsid w:val="00C96437"/>
    <w:rsid w:val="00CA30D7"/>
    <w:rsid w:val="00CC315C"/>
    <w:rsid w:val="00CC56B4"/>
    <w:rsid w:val="00CF2D4A"/>
    <w:rsid w:val="00D164FE"/>
    <w:rsid w:val="00D3025A"/>
    <w:rsid w:val="00D51510"/>
    <w:rsid w:val="00D5663D"/>
    <w:rsid w:val="00D8624C"/>
    <w:rsid w:val="00DB5384"/>
    <w:rsid w:val="00DB7B0F"/>
    <w:rsid w:val="00E26934"/>
    <w:rsid w:val="00E41D4C"/>
    <w:rsid w:val="00E4683E"/>
    <w:rsid w:val="00E53DEA"/>
    <w:rsid w:val="00E766AB"/>
    <w:rsid w:val="00E97CC0"/>
    <w:rsid w:val="00ED5A6A"/>
    <w:rsid w:val="00EE760A"/>
    <w:rsid w:val="00EF13E4"/>
    <w:rsid w:val="00EF6A58"/>
    <w:rsid w:val="00F022EB"/>
    <w:rsid w:val="00F1381E"/>
    <w:rsid w:val="00F36967"/>
    <w:rsid w:val="00F67221"/>
    <w:rsid w:val="00FB1808"/>
    <w:rsid w:val="00FB3121"/>
    <w:rsid w:val="00FB4753"/>
    <w:rsid w:val="00FD0845"/>
    <w:rsid w:val="00FD1142"/>
    <w:rsid w:val="00FE0B7E"/>
    <w:rsid w:val="00FF6286"/>
    <w:rsid w:val="0FFE71B0"/>
    <w:rsid w:val="15B11221"/>
    <w:rsid w:val="277825EA"/>
    <w:rsid w:val="30D1379E"/>
    <w:rsid w:val="37FE2EC0"/>
    <w:rsid w:val="409B5BD0"/>
    <w:rsid w:val="4E8455D8"/>
    <w:rsid w:val="4F3D4833"/>
    <w:rsid w:val="4FB664B3"/>
    <w:rsid w:val="54A54AA0"/>
    <w:rsid w:val="66C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段 Char"/>
    <w:link w:val="10"/>
    <w:qFormat/>
    <w:uiPriority w:val="0"/>
    <w:rPr>
      <w:rFonts w:ascii="宋体"/>
    </w:rPr>
  </w:style>
  <w:style w:type="paragraph" w:customStyle="1" w:styleId="10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一级条标题"/>
    <w:next w:val="10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2">
    <w:name w:val="正文表标题"/>
    <w:next w:val="10"/>
    <w:qFormat/>
    <w:uiPriority w:val="0"/>
    <w:pPr>
      <w:numPr>
        <w:ilvl w:val="0"/>
        <w:numId w:val="2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2187</Words>
  <Characters>2459</Characters>
  <Lines>26</Lines>
  <Paragraphs>7</Paragraphs>
  <TotalTime>0</TotalTime>
  <ScaleCrop>false</ScaleCrop>
  <LinksUpToDate>false</LinksUpToDate>
  <CharactersWithSpaces>2471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2021-07-31T08:41:00Z</dcterms:created>
  <dc:creator>acer</dc:creator>
  <cp:lastModifiedBy>孤帆远影</cp:lastModifiedBy>
  <cp:lastPrinted>2022-03-29T00:09:42Z</cp:lastPrinted>
  <dcterms:modified xsi:type="dcterms:W3CDTF">2022-03-29T00:09:49Z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90FE23139D05458E8D973A5DE760992F</vt:lpwstr>
  </property>
</Properties>
</file>